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1C20" w14:textId="76843F95" w:rsidR="00630C70" w:rsidRDefault="005B1022" w:rsidP="00630C70">
      <w:pPr>
        <w:pStyle w:val="NormalWeb"/>
        <w:spacing w:before="0" w:beforeAutospacing="0" w:after="0" w:afterAutospacing="0"/>
        <w:jc w:val="center"/>
        <w:rPr>
          <w:rFonts w:ascii="Times" w:hAnsi="Times"/>
          <w:b/>
          <w:color w:val="000000"/>
          <w:sz w:val="28"/>
          <w:szCs w:val="28"/>
          <w:u w:val="single"/>
        </w:rPr>
      </w:pPr>
      <w:r>
        <w:rPr>
          <w:rFonts w:ascii="Times" w:hAnsi="Times"/>
          <w:b/>
          <w:noProof/>
          <w:color w:val="000000"/>
          <w:sz w:val="28"/>
          <w:szCs w:val="28"/>
          <w:u w:val="single"/>
        </w:rPr>
        <mc:AlternateContent>
          <mc:Choice Requires="wps">
            <w:drawing>
              <wp:anchor distT="0" distB="0" distL="114300" distR="114300" simplePos="0" relativeHeight="251660288" behindDoc="0" locked="0" layoutInCell="1" allowOverlap="1" wp14:anchorId="4A88378E" wp14:editId="07F426AD">
                <wp:simplePos x="0" y="0"/>
                <wp:positionH relativeFrom="column">
                  <wp:posOffset>1308735</wp:posOffset>
                </wp:positionH>
                <wp:positionV relativeFrom="paragraph">
                  <wp:posOffset>-340360</wp:posOffset>
                </wp:positionV>
                <wp:extent cx="42291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E5BD07" w14:textId="7D541226" w:rsidR="005B1022" w:rsidRPr="005B1022" w:rsidRDefault="005B1022">
                            <w:pPr>
                              <w:rPr>
                                <w:rFonts w:ascii="Helvetica" w:hAnsi="Helvetica"/>
                                <w:b/>
                                <w:sz w:val="40"/>
                                <w:szCs w:val="40"/>
                              </w:rPr>
                            </w:pPr>
                            <w:r>
                              <w:rPr>
                                <w:rFonts w:ascii="Helvetica" w:hAnsi="Helvetica"/>
                                <w:b/>
                                <w:sz w:val="40"/>
                                <w:szCs w:val="40"/>
                              </w:rPr>
                              <w:t>RENTAL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88378E" id="_x0000_t202" coordsize="21600,21600" o:spt="202" path="m0,0l0,21600,21600,21600,21600,0xe">
                <v:stroke joinstyle="miter"/>
                <v:path gradientshapeok="t" o:connecttype="rect"/>
              </v:shapetype>
              <v:shape id="Text_x0020_Box_x0020_3" o:spid="_x0000_s1026" type="#_x0000_t202" style="position:absolute;left:0;text-align:left;margin-left:103.05pt;margin-top:-26.75pt;width:333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" filled="f" stroked="f">
                <v:textbox>
                  <w:txbxContent>
                    <w:p w14:paraId="27E5BD07" w14:textId="7D541226" w:rsidR="005B1022" w:rsidRPr="005B1022" w:rsidRDefault="005B1022">
                      <w:pPr>
                        <w:rPr>
                          <w:rFonts w:ascii="Helvetica" w:hAnsi="Helvetica"/>
                          <w:b/>
                          <w:sz w:val="40"/>
                          <w:szCs w:val="40"/>
                        </w:rPr>
                      </w:pPr>
                      <w:r>
                        <w:rPr>
                          <w:rFonts w:ascii="Helvetica" w:hAnsi="Helvetica"/>
                          <w:b/>
                          <w:sz w:val="40"/>
                          <w:szCs w:val="40"/>
                        </w:rPr>
                        <w:t>RENTAL QUALIFICATIONS</w:t>
                      </w:r>
                    </w:p>
                  </w:txbxContent>
                </v:textbox>
              </v:shape>
            </w:pict>
          </mc:Fallback>
        </mc:AlternateContent>
      </w:r>
      <w:r w:rsidR="00630C70">
        <w:rPr>
          <w:rFonts w:ascii="Times" w:hAnsi="Times"/>
          <w:b/>
          <w:noProof/>
          <w:color w:val="000000"/>
          <w:sz w:val="28"/>
          <w:szCs w:val="28"/>
          <w:u w:val="single"/>
        </w:rPr>
        <mc:AlternateContent>
          <mc:Choice Requires="wps">
            <w:drawing>
              <wp:anchor distT="0" distB="0" distL="114300" distR="114300" simplePos="0" relativeHeight="251659264" behindDoc="1" locked="0" layoutInCell="1" allowOverlap="1" wp14:anchorId="408423E0" wp14:editId="19B88F00">
                <wp:simplePos x="0" y="0"/>
                <wp:positionH relativeFrom="column">
                  <wp:posOffset>-977901</wp:posOffset>
                </wp:positionH>
                <wp:positionV relativeFrom="paragraph">
                  <wp:posOffset>-571500</wp:posOffset>
                </wp:positionV>
                <wp:extent cx="7887335" cy="802640"/>
                <wp:effectExtent l="0" t="0" r="12065" b="10160"/>
                <wp:wrapNone/>
                <wp:docPr id="1" name="Rectangle 1"/>
                <wp:cNvGraphicFramePr/>
                <a:graphic xmlns:a="http://schemas.openxmlformats.org/drawingml/2006/main">
                  <a:graphicData uri="http://schemas.microsoft.com/office/word/2010/wordprocessingShape">
                    <wps:wsp>
                      <wps:cNvSpPr/>
                      <wps:spPr>
                        <a:xfrm>
                          <a:off x="0" y="0"/>
                          <a:ext cx="7887335" cy="80264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0161A" id="Rectangle_x0020_1" o:spid="_x0000_s1026" style="position:absolute;margin-left:-77pt;margin-top:-44.95pt;width:621.05pt;height:6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" fillcolor="#f5e5c3 [1301]" stroked="f" strokeweight="2.75pt"/>
            </w:pict>
          </mc:Fallback>
        </mc:AlternateContent>
      </w:r>
    </w:p>
    <w:p w14:paraId="6A663171" w14:textId="77F7578D" w:rsidR="00630C70" w:rsidRPr="009E633E" w:rsidRDefault="00630C70" w:rsidP="00E36DE0">
      <w:pPr>
        <w:pStyle w:val="NormalWeb"/>
        <w:spacing w:before="0" w:beforeAutospacing="0" w:after="0" w:afterAutospacing="0"/>
        <w:jc w:val="center"/>
        <w:rPr>
          <w:rFonts w:ascii="Times" w:hAnsi="Times"/>
          <w:b/>
          <w:color w:val="000000"/>
          <w:sz w:val="28"/>
          <w:szCs w:val="28"/>
          <w:u w:val="single"/>
        </w:rPr>
      </w:pPr>
    </w:p>
    <w:p w14:paraId="60CD7035" w14:textId="618956CD" w:rsidR="00711B4D" w:rsidRPr="00E36DE0" w:rsidRDefault="00711B4D" w:rsidP="00E36DE0">
      <w:pPr>
        <w:jc w:val="center"/>
        <w:rPr>
          <w:rFonts w:ascii="Helvetica" w:eastAsia="Times New Roman" w:hAnsi="Helvetica" w:cs="Times New Roman"/>
          <w:sz w:val="22"/>
          <w:szCs w:val="22"/>
        </w:rPr>
      </w:pPr>
      <w:r w:rsidRPr="00711B4D">
        <w:rPr>
          <w:rFonts w:ascii="Helvetica" w:eastAsia="Times New Roman" w:hAnsi="Helvetica" w:cs="Times New Roman"/>
          <w:color w:val="000000"/>
          <w:sz w:val="22"/>
          <w:szCs w:val="22"/>
        </w:rPr>
        <w:t>Specific rental qualifications for residency are listed on the formal application which is required of potential tenants after viewing the apartment, in order to continue with the application process. This is for information purposes so that you can view the apartment.</w:t>
      </w:r>
    </w:p>
    <w:p w14:paraId="3AADBF8B" w14:textId="77777777" w:rsidR="00855B2F" w:rsidRPr="00630C70" w:rsidRDefault="00855B2F" w:rsidP="00855B2F">
      <w:pPr>
        <w:pStyle w:val="NormalWeb"/>
        <w:rPr>
          <w:rFonts w:ascii="Helvetica" w:hAnsi="Helvetica"/>
          <w:b/>
          <w:color w:val="000000"/>
          <w:u w:val="single"/>
        </w:rPr>
      </w:pPr>
      <w:r w:rsidRPr="00630C70">
        <w:rPr>
          <w:rFonts w:ascii="Helvetica" w:hAnsi="Helvetica"/>
          <w:b/>
          <w:color w:val="000000"/>
          <w:u w:val="single"/>
        </w:rPr>
        <w:t>Student Requirements:</w:t>
      </w:r>
    </w:p>
    <w:p w14:paraId="2E1B8031" w14:textId="7011A37A" w:rsidR="009E633E" w:rsidRPr="00630C70" w:rsidRDefault="00855B2F" w:rsidP="00630C70">
      <w:pPr>
        <w:pStyle w:val="NormalWeb"/>
        <w:numPr>
          <w:ilvl w:val="0"/>
          <w:numId w:val="1"/>
        </w:numPr>
        <w:rPr>
          <w:rFonts w:ascii="Helvetica" w:hAnsi="Helvetica"/>
          <w:color w:val="000000"/>
        </w:rPr>
      </w:pPr>
      <w:r w:rsidRPr="00630C70">
        <w:rPr>
          <w:rFonts w:ascii="Helvetica" w:hAnsi="Helvetica"/>
          <w:color w:val="000000"/>
        </w:rPr>
        <w:t>All students are required to have a verifiable Co-signer. Credit reports and/or income verification may be required of a Co-signer.</w:t>
      </w:r>
    </w:p>
    <w:p w14:paraId="4C36A8D7" w14:textId="77777777" w:rsidR="00855B2F" w:rsidRPr="00630C70" w:rsidRDefault="00855B2F" w:rsidP="00855B2F">
      <w:pPr>
        <w:pStyle w:val="NormalWeb"/>
        <w:rPr>
          <w:rFonts w:ascii="Helvetica" w:hAnsi="Helvetica"/>
          <w:b/>
          <w:color w:val="000000"/>
          <w:u w:val="single"/>
        </w:rPr>
      </w:pPr>
      <w:r w:rsidRPr="00630C70">
        <w:rPr>
          <w:rFonts w:ascii="Helvetica" w:hAnsi="Helvetica"/>
          <w:b/>
          <w:color w:val="000000"/>
          <w:u w:val="single"/>
        </w:rPr>
        <w:t>Income Requirements:</w:t>
      </w:r>
    </w:p>
    <w:p w14:paraId="67F8264E" w14:textId="635A023A" w:rsidR="00855B2F" w:rsidRPr="00630C70" w:rsidRDefault="00855B2F" w:rsidP="00630C70">
      <w:pPr>
        <w:pStyle w:val="NormalWeb"/>
        <w:numPr>
          <w:ilvl w:val="0"/>
          <w:numId w:val="1"/>
        </w:numPr>
        <w:rPr>
          <w:rFonts w:ascii="Helvetica" w:hAnsi="Helvetica"/>
          <w:color w:val="000000"/>
        </w:rPr>
      </w:pPr>
      <w:r w:rsidRPr="00630C70">
        <w:rPr>
          <w:rFonts w:ascii="Helvetica" w:hAnsi="Helvetica"/>
          <w:color w:val="000000"/>
        </w:rPr>
        <w:t>Monthly income must be equal to thre</w:t>
      </w:r>
      <w:r w:rsidR="00A349BD">
        <w:rPr>
          <w:rFonts w:ascii="Helvetica" w:hAnsi="Helvetica"/>
          <w:color w:val="000000"/>
        </w:rPr>
        <w:t xml:space="preserve">e times the monthly stated rent or </w:t>
      </w:r>
      <w:r w:rsidR="009761FF">
        <w:rPr>
          <w:rFonts w:ascii="Helvetica" w:hAnsi="Helvetica"/>
          <w:color w:val="000000"/>
        </w:rPr>
        <w:t xml:space="preserve">must have </w:t>
      </w:r>
      <w:r w:rsidR="00A349BD">
        <w:rPr>
          <w:rFonts w:ascii="Helvetica" w:hAnsi="Helvetica"/>
          <w:color w:val="000000"/>
        </w:rPr>
        <w:t>a qualified Co-signer.</w:t>
      </w:r>
      <w:bookmarkStart w:id="0" w:name="_GoBack"/>
      <w:bookmarkEnd w:id="0"/>
    </w:p>
    <w:p w14:paraId="35E27540" w14:textId="77777777" w:rsidR="00855B2F" w:rsidRPr="00630C70" w:rsidRDefault="00855B2F" w:rsidP="00855B2F">
      <w:pPr>
        <w:pStyle w:val="NormalWeb"/>
        <w:rPr>
          <w:rFonts w:ascii="Helvetica" w:hAnsi="Helvetica"/>
          <w:b/>
          <w:color w:val="000000"/>
          <w:u w:val="single"/>
        </w:rPr>
      </w:pPr>
      <w:r w:rsidRPr="00630C70">
        <w:rPr>
          <w:rFonts w:ascii="Helvetica" w:hAnsi="Helvetica"/>
          <w:b/>
          <w:color w:val="000000"/>
          <w:u w:val="single"/>
        </w:rPr>
        <w:t>Rental History:</w:t>
      </w:r>
    </w:p>
    <w:p w14:paraId="476C2094" w14:textId="0231E02E" w:rsidR="00630C70" w:rsidRPr="00630C70" w:rsidRDefault="00855B2F" w:rsidP="00630C70">
      <w:pPr>
        <w:pStyle w:val="NormalWeb"/>
        <w:numPr>
          <w:ilvl w:val="0"/>
          <w:numId w:val="2"/>
        </w:numPr>
        <w:rPr>
          <w:rFonts w:ascii="Helvetica" w:hAnsi="Helvetica"/>
          <w:color w:val="000000"/>
        </w:rPr>
      </w:pPr>
      <w:r w:rsidRPr="00630C70">
        <w:rPr>
          <w:rFonts w:ascii="Helvetica" w:hAnsi="Helvetica"/>
          <w:color w:val="000000"/>
        </w:rPr>
        <w:t>Applicant must have one year of rental history that is v</w:t>
      </w:r>
      <w:r w:rsidR="00A86721">
        <w:rPr>
          <w:rFonts w:ascii="Helvetica" w:hAnsi="Helvetica"/>
          <w:color w:val="000000"/>
        </w:rPr>
        <w:t>erifiable through a third party or a qualified Co-signer.</w:t>
      </w:r>
    </w:p>
    <w:p w14:paraId="0CF07EC9" w14:textId="77777777" w:rsidR="00855B2F" w:rsidRPr="00630C70" w:rsidRDefault="00855B2F" w:rsidP="00630C70">
      <w:pPr>
        <w:pStyle w:val="NormalWeb"/>
        <w:numPr>
          <w:ilvl w:val="0"/>
          <w:numId w:val="2"/>
        </w:numPr>
        <w:rPr>
          <w:rFonts w:ascii="Helvetica" w:hAnsi="Helvetica"/>
          <w:color w:val="000000"/>
        </w:rPr>
      </w:pPr>
      <w:r w:rsidRPr="00630C70">
        <w:rPr>
          <w:rFonts w:ascii="Helvetica" w:hAnsi="Helvetica"/>
          <w:color w:val="000000"/>
        </w:rPr>
        <w:t>Applicant must have an eviction free rental history.</w:t>
      </w:r>
    </w:p>
    <w:p w14:paraId="013CAB28" w14:textId="77777777" w:rsidR="00855B2F" w:rsidRPr="00630C70" w:rsidRDefault="00855B2F" w:rsidP="00630C70">
      <w:pPr>
        <w:pStyle w:val="NormalWeb"/>
        <w:numPr>
          <w:ilvl w:val="0"/>
          <w:numId w:val="2"/>
        </w:numPr>
        <w:rPr>
          <w:rFonts w:ascii="Helvetica" w:hAnsi="Helvetica"/>
          <w:color w:val="000000"/>
        </w:rPr>
      </w:pPr>
      <w:r w:rsidRPr="00630C70">
        <w:rPr>
          <w:rFonts w:ascii="Helvetica" w:hAnsi="Helvetica"/>
          <w:color w:val="000000"/>
        </w:rPr>
        <w:t>Any NSF checks or 72 hour notices are not immediate denial of the application, but are subject to further consideration.</w:t>
      </w:r>
    </w:p>
    <w:p w14:paraId="0F7ED19C" w14:textId="77777777" w:rsidR="00855B2F" w:rsidRPr="00630C70" w:rsidRDefault="00855B2F" w:rsidP="00855B2F">
      <w:pPr>
        <w:pStyle w:val="NormalWeb"/>
        <w:rPr>
          <w:rFonts w:ascii="Helvetica" w:hAnsi="Helvetica"/>
          <w:b/>
          <w:color w:val="000000"/>
          <w:u w:val="single"/>
        </w:rPr>
      </w:pPr>
      <w:r w:rsidRPr="00630C70">
        <w:rPr>
          <w:rFonts w:ascii="Helvetica" w:hAnsi="Helvetica"/>
          <w:b/>
          <w:color w:val="000000"/>
          <w:u w:val="single"/>
        </w:rPr>
        <w:t>Credit History:</w:t>
      </w:r>
    </w:p>
    <w:p w14:paraId="0F3C0A5E" w14:textId="7FC78FEC" w:rsidR="00855B2F" w:rsidRPr="00630C70" w:rsidRDefault="00855B2F" w:rsidP="00630C70">
      <w:pPr>
        <w:pStyle w:val="NormalWeb"/>
        <w:numPr>
          <w:ilvl w:val="0"/>
          <w:numId w:val="3"/>
        </w:numPr>
        <w:rPr>
          <w:rFonts w:ascii="Helvetica" w:hAnsi="Helvetica"/>
          <w:color w:val="000000"/>
        </w:rPr>
      </w:pPr>
      <w:r w:rsidRPr="00630C70">
        <w:rPr>
          <w:rFonts w:ascii="Helvetica" w:hAnsi="Helvetica"/>
          <w:color w:val="000000"/>
        </w:rPr>
        <w:t xml:space="preserve">Negative or adverse debt listed on applicant’s credit report </w:t>
      </w:r>
      <w:r w:rsidR="00A86721">
        <w:rPr>
          <w:rFonts w:ascii="Helvetica" w:hAnsi="Helvetica"/>
          <w:color w:val="000000"/>
        </w:rPr>
        <w:t>may require additional deposits or a qualified Co-signer.</w:t>
      </w:r>
    </w:p>
    <w:p w14:paraId="0D667C13" w14:textId="77777777" w:rsidR="00855B2F" w:rsidRPr="00630C70" w:rsidRDefault="00855B2F" w:rsidP="00630C70">
      <w:pPr>
        <w:pStyle w:val="NormalWeb"/>
        <w:numPr>
          <w:ilvl w:val="0"/>
          <w:numId w:val="3"/>
        </w:numPr>
        <w:rPr>
          <w:rFonts w:ascii="Helvetica" w:hAnsi="Helvetica"/>
          <w:color w:val="000000"/>
        </w:rPr>
      </w:pPr>
      <w:r w:rsidRPr="00630C70">
        <w:rPr>
          <w:rFonts w:ascii="Helvetica" w:hAnsi="Helvetica"/>
          <w:color w:val="000000"/>
        </w:rPr>
        <w:t>Negative or adverse credit can result in the denial of the application.</w:t>
      </w:r>
    </w:p>
    <w:p w14:paraId="2FB29E69" w14:textId="77777777" w:rsidR="00855B2F" w:rsidRPr="00630C70" w:rsidRDefault="00855B2F" w:rsidP="00855B2F">
      <w:pPr>
        <w:pStyle w:val="NormalWeb"/>
        <w:rPr>
          <w:rFonts w:ascii="Helvetica" w:hAnsi="Helvetica"/>
          <w:b/>
          <w:color w:val="000000"/>
          <w:u w:val="single"/>
        </w:rPr>
      </w:pPr>
      <w:r w:rsidRPr="00630C70">
        <w:rPr>
          <w:rFonts w:ascii="Helvetica" w:hAnsi="Helvetica"/>
          <w:b/>
          <w:color w:val="000000"/>
          <w:u w:val="single"/>
        </w:rPr>
        <w:t>Criminal History:</w:t>
      </w:r>
    </w:p>
    <w:p w14:paraId="66111A3B" w14:textId="23B1EBA5" w:rsidR="00855B2F" w:rsidRPr="00630C70" w:rsidRDefault="00855B2F" w:rsidP="00630C70">
      <w:pPr>
        <w:pStyle w:val="NormalWeb"/>
        <w:numPr>
          <w:ilvl w:val="0"/>
          <w:numId w:val="4"/>
        </w:numPr>
        <w:rPr>
          <w:rFonts w:ascii="Helvetica" w:hAnsi="Helvetica"/>
          <w:color w:val="000000"/>
        </w:rPr>
      </w:pPr>
      <w:r w:rsidRPr="00630C70">
        <w:rPr>
          <w:rFonts w:ascii="Helvetica" w:hAnsi="Helvetica"/>
          <w:color w:val="000000"/>
        </w:rPr>
        <w:t>Any adverse conviction, guilty plea or no-contest plea can result in the denial of the application.</w:t>
      </w:r>
      <w:r w:rsidR="00252D49" w:rsidRPr="00630C70">
        <w:rPr>
          <w:rFonts w:ascii="Helvetica" w:hAnsi="Helvetica"/>
          <w:color w:val="000000"/>
        </w:rPr>
        <w:t xml:space="preserve"> </w:t>
      </w:r>
      <w:r w:rsidRPr="00630C70">
        <w:rPr>
          <w:rFonts w:ascii="Helvetica" w:hAnsi="Helvetica"/>
          <w:color w:val="000000"/>
        </w:rPr>
        <w:t>Each applicant’s circumstances will be evaluated based upon the direct threat to individuals, the complex, and the property of others.</w:t>
      </w:r>
    </w:p>
    <w:p w14:paraId="392835DB" w14:textId="77777777" w:rsidR="00855B2F" w:rsidRPr="00630C70" w:rsidRDefault="00855B2F" w:rsidP="00855B2F">
      <w:pPr>
        <w:pStyle w:val="NormalWeb"/>
        <w:rPr>
          <w:rFonts w:ascii="Helvetica" w:hAnsi="Helvetica"/>
          <w:b/>
          <w:color w:val="000000"/>
          <w:u w:val="single"/>
        </w:rPr>
      </w:pPr>
      <w:r w:rsidRPr="00630C70">
        <w:rPr>
          <w:rFonts w:ascii="Helvetica" w:hAnsi="Helvetica"/>
          <w:b/>
          <w:color w:val="000000"/>
          <w:u w:val="single"/>
        </w:rPr>
        <w:t>Application Fee:</w:t>
      </w:r>
    </w:p>
    <w:p w14:paraId="3BFCF794" w14:textId="77777777" w:rsidR="00252D49" w:rsidRPr="00630C70" w:rsidRDefault="00855B2F" w:rsidP="00252D49">
      <w:pPr>
        <w:pStyle w:val="NormalWeb"/>
        <w:spacing w:before="0" w:beforeAutospacing="0" w:after="0" w:afterAutospacing="0"/>
        <w:rPr>
          <w:rFonts w:ascii="Helvetica" w:hAnsi="Helvetica"/>
          <w:b/>
          <w:color w:val="000000" w:themeColor="text1"/>
        </w:rPr>
      </w:pPr>
      <w:r w:rsidRPr="00630C70">
        <w:rPr>
          <w:rFonts w:ascii="Helvetica" w:hAnsi="Helvetica"/>
          <w:b/>
          <w:color w:val="000000" w:themeColor="text1"/>
        </w:rPr>
        <w:t>Students: $35.00</w:t>
      </w:r>
      <w:r w:rsidR="00252D49" w:rsidRPr="00630C70">
        <w:rPr>
          <w:rFonts w:ascii="Helvetica" w:hAnsi="Helvetica"/>
          <w:b/>
          <w:color w:val="000000" w:themeColor="text1"/>
        </w:rPr>
        <w:t xml:space="preserve"> </w:t>
      </w:r>
    </w:p>
    <w:p w14:paraId="5BD381B8" w14:textId="72B2BCE8" w:rsidR="00855B2F" w:rsidRPr="00630C70" w:rsidRDefault="00855B2F" w:rsidP="00252D49">
      <w:pPr>
        <w:pStyle w:val="NormalWeb"/>
        <w:spacing w:before="0" w:beforeAutospacing="0" w:after="0" w:afterAutospacing="0"/>
        <w:rPr>
          <w:rFonts w:ascii="Helvetica" w:hAnsi="Helvetica"/>
          <w:b/>
          <w:color w:val="000000" w:themeColor="text1"/>
        </w:rPr>
      </w:pPr>
      <w:r w:rsidRPr="00630C70">
        <w:rPr>
          <w:rFonts w:ascii="Helvetica" w:hAnsi="Helvetica"/>
          <w:b/>
          <w:color w:val="000000" w:themeColor="text1"/>
        </w:rPr>
        <w:t>Non-students: $45.00</w:t>
      </w:r>
    </w:p>
    <w:p w14:paraId="5C244E41" w14:textId="77777777" w:rsidR="00855B2F" w:rsidRPr="00630C70" w:rsidRDefault="00855B2F" w:rsidP="00630C70">
      <w:pPr>
        <w:pStyle w:val="NormalWeb"/>
        <w:numPr>
          <w:ilvl w:val="0"/>
          <w:numId w:val="5"/>
        </w:numPr>
        <w:rPr>
          <w:rFonts w:ascii="Helvetica" w:hAnsi="Helvetica"/>
          <w:color w:val="000000"/>
        </w:rPr>
      </w:pPr>
      <w:r w:rsidRPr="00630C70">
        <w:rPr>
          <w:rFonts w:ascii="Helvetica" w:hAnsi="Helvetica"/>
          <w:color w:val="000000"/>
        </w:rPr>
        <w:t>We cannot accept checks made payable to IRI Properties. Please make the check payable to the appropriate entity.</w:t>
      </w:r>
    </w:p>
    <w:p w14:paraId="77DAE85B" w14:textId="77777777" w:rsidR="0048509D" w:rsidRDefault="0048509D"/>
    <w:sectPr w:rsidR="0048509D" w:rsidSect="004C5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744BC"/>
    <w:multiLevelType w:val="hybridMultilevel"/>
    <w:tmpl w:val="27902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5199B"/>
    <w:multiLevelType w:val="hybridMultilevel"/>
    <w:tmpl w:val="2DF21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55942"/>
    <w:multiLevelType w:val="hybridMultilevel"/>
    <w:tmpl w:val="EEF61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D0E09"/>
    <w:multiLevelType w:val="hybridMultilevel"/>
    <w:tmpl w:val="5B843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358CE"/>
    <w:multiLevelType w:val="hybridMultilevel"/>
    <w:tmpl w:val="25B88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2F"/>
    <w:rsid w:val="00252D49"/>
    <w:rsid w:val="0048509D"/>
    <w:rsid w:val="004C5EC2"/>
    <w:rsid w:val="005B1022"/>
    <w:rsid w:val="00630C70"/>
    <w:rsid w:val="00711B4D"/>
    <w:rsid w:val="00855B2F"/>
    <w:rsid w:val="009761FF"/>
    <w:rsid w:val="009C3A69"/>
    <w:rsid w:val="009E633E"/>
    <w:rsid w:val="00A349BD"/>
    <w:rsid w:val="00A86721"/>
    <w:rsid w:val="00E36DE0"/>
    <w:rsid w:val="00F1406A"/>
    <w:rsid w:val="00F2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F9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B2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5220">
      <w:bodyDiv w:val="1"/>
      <w:marLeft w:val="0"/>
      <w:marRight w:val="0"/>
      <w:marTop w:val="0"/>
      <w:marBottom w:val="0"/>
      <w:divBdr>
        <w:top w:val="none" w:sz="0" w:space="0" w:color="auto"/>
        <w:left w:val="none" w:sz="0" w:space="0" w:color="auto"/>
        <w:bottom w:val="none" w:sz="0" w:space="0" w:color="auto"/>
        <w:right w:val="none" w:sz="0" w:space="0" w:color="auto"/>
      </w:divBdr>
    </w:div>
    <w:div w:id="1793547381">
      <w:bodyDiv w:val="1"/>
      <w:marLeft w:val="0"/>
      <w:marRight w:val="0"/>
      <w:marTop w:val="0"/>
      <w:marBottom w:val="0"/>
      <w:divBdr>
        <w:top w:val="none" w:sz="0" w:space="0" w:color="auto"/>
        <w:left w:val="none" w:sz="0" w:space="0" w:color="auto"/>
        <w:bottom w:val="none" w:sz="0" w:space="0" w:color="auto"/>
        <w:right w:val="none" w:sz="0" w:space="0" w:color="auto"/>
      </w:divBdr>
    </w:div>
    <w:div w:id="2108502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04FC92-205E-8948-AAA1-6023D4D4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1266</Characters>
  <Application>Microsoft Macintosh Word</Application>
  <DocSecurity>0</DocSecurity>
  <Lines>10</Lines>
  <Paragraphs>2</Paragraphs>
  <ScaleCrop>false</ScaleCrop>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Silsby, Jaclyn Nicole</dc:creator>
  <cp:keywords/>
  <dc:description/>
  <cp:lastModifiedBy>Silsby, Jaclyn Nicole</cp:lastModifiedBy>
  <cp:revision>13</cp:revision>
  <dcterms:created xsi:type="dcterms:W3CDTF">2016-12-22T21:39:00Z</dcterms:created>
  <dcterms:modified xsi:type="dcterms:W3CDTF">2016-12-31T01:18:00Z</dcterms:modified>
</cp:coreProperties>
</file>